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700" w:lineRule="exact"/>
        <w:jc w:val="center"/>
        <w:rPr>
          <w:rFonts w:hint="eastAsia" w:ascii="方正小标宋简体" w:hAnsi="方正小标宋简体" w:eastAsia="方正小标宋简体" w:cs="方正小标宋简体"/>
          <w:b w:val="0"/>
          <w:bCs w:val="0"/>
          <w:color w:val="000000" w:themeColor="text1"/>
          <w:kern w:val="0"/>
          <w:sz w:val="44"/>
          <w:szCs w:val="44"/>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kern w:val="0"/>
          <w:sz w:val="44"/>
          <w:szCs w:val="44"/>
          <w14:textFill>
            <w14:solidFill>
              <w14:schemeClr w14:val="tx1"/>
            </w14:solidFill>
          </w14:textFill>
        </w:rPr>
        <w:t>202</w:t>
      </w:r>
      <w:r>
        <w:rPr>
          <w:rFonts w:hint="eastAsia" w:ascii="方正小标宋简体" w:hAnsi="方正小标宋简体" w:eastAsia="方正小标宋简体" w:cs="方正小标宋简体"/>
          <w:b w:val="0"/>
          <w:bCs w:val="0"/>
          <w:color w:val="000000" w:themeColor="text1"/>
          <w:kern w:val="0"/>
          <w:sz w:val="44"/>
          <w:szCs w:val="44"/>
          <w:lang w:val="en-US" w:eastAsia="zh-CN"/>
          <w14:textFill>
            <w14:solidFill>
              <w14:schemeClr w14:val="tx1"/>
            </w14:solidFill>
          </w14:textFill>
        </w:rPr>
        <w:t>1</w:t>
      </w:r>
      <w:r>
        <w:rPr>
          <w:rFonts w:hint="eastAsia" w:ascii="方正小标宋简体" w:hAnsi="方正小标宋简体" w:eastAsia="方正小标宋简体" w:cs="方正小标宋简体"/>
          <w:b w:val="0"/>
          <w:bCs w:val="0"/>
          <w:color w:val="000000" w:themeColor="text1"/>
          <w:kern w:val="0"/>
          <w:sz w:val="44"/>
          <w:szCs w:val="44"/>
          <w14:textFill>
            <w14:solidFill>
              <w14:schemeClr w14:val="tx1"/>
            </w14:solidFill>
          </w14:textFill>
        </w:rPr>
        <w:t>年江西省青年马克思主义者</w:t>
      </w:r>
    </w:p>
    <w:p>
      <w:pPr>
        <w:widowControl/>
        <w:spacing w:line="700" w:lineRule="exact"/>
        <w:jc w:val="center"/>
        <w:rPr>
          <w:rFonts w:hint="eastAsia" w:ascii="方正小标宋简体" w:hAnsi="方正小标宋简体" w:eastAsia="方正小标宋简体" w:cs="方正小标宋简体"/>
          <w:b w:val="0"/>
          <w:bCs w:val="0"/>
          <w:color w:val="000000" w:themeColor="text1"/>
          <w:kern w:val="0"/>
          <w:sz w:val="44"/>
          <w:szCs w:val="44"/>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kern w:val="0"/>
          <w:sz w:val="44"/>
          <w:szCs w:val="44"/>
          <w14:textFill>
            <w14:solidFill>
              <w14:schemeClr w14:val="tx1"/>
            </w14:solidFill>
          </w14:textFill>
        </w:rPr>
        <w:t>理论研究创新工程选题指南</w:t>
      </w:r>
    </w:p>
    <w:p>
      <w:pPr>
        <w:widowControl/>
        <w:spacing w:line="700" w:lineRule="exact"/>
        <w:jc w:val="center"/>
        <w:rPr>
          <w:rFonts w:hint="eastAsia" w:ascii="华文宋体" w:hAnsi="华文宋体" w:eastAsia="华文宋体" w:cs="华文宋体"/>
          <w:b/>
          <w:bCs/>
          <w:color w:val="000000" w:themeColor="text1"/>
          <w:kern w:val="0"/>
          <w:sz w:val="44"/>
          <w:szCs w:val="44"/>
          <w14:textFill>
            <w14:solidFill>
              <w14:schemeClr w14:val="tx1"/>
            </w14:solidFill>
          </w14:textFill>
        </w:rPr>
      </w:pPr>
    </w:p>
    <w:tbl>
      <w:tblPr>
        <w:tblStyle w:val="4"/>
        <w:tblW w:w="9686" w:type="dxa"/>
        <w:tblInd w:w="0" w:type="dxa"/>
        <w:tblLayout w:type="fixed"/>
        <w:tblCellMar>
          <w:top w:w="0" w:type="dxa"/>
          <w:left w:w="108" w:type="dxa"/>
          <w:bottom w:w="0" w:type="dxa"/>
          <w:right w:w="108" w:type="dxa"/>
        </w:tblCellMar>
      </w:tblPr>
      <w:tblGrid>
        <w:gridCol w:w="886"/>
        <w:gridCol w:w="8800"/>
      </w:tblGrid>
      <w:tr>
        <w:tblPrEx>
          <w:tblCellMar>
            <w:top w:w="0" w:type="dxa"/>
            <w:left w:w="108" w:type="dxa"/>
            <w:bottom w:w="0" w:type="dxa"/>
            <w:right w:w="108" w:type="dxa"/>
          </w:tblCellMar>
        </w:tblPrEx>
        <w:trPr>
          <w:trHeight w:val="1218" w:hRule="atLeast"/>
        </w:trPr>
        <w:tc>
          <w:tcPr>
            <w:tcW w:w="9686" w:type="dxa"/>
            <w:gridSpan w:val="2"/>
            <w:tcBorders>
              <w:top w:val="nil"/>
              <w:left w:val="nil"/>
              <w:bottom w:val="nil"/>
              <w:right w:val="nil"/>
            </w:tcBorders>
            <w:shd w:val="clear" w:color="auto" w:fill="auto"/>
            <w:noWrap/>
            <w:vAlign w:val="center"/>
          </w:tcPr>
          <w:p>
            <w:pPr>
              <w:widowControl/>
              <w:jc w:val="center"/>
              <w:rPr>
                <w:rFonts w:ascii="黑体" w:hAnsi="黑体" w:eastAsia="黑体" w:cs="宋体"/>
                <w:b/>
                <w:bCs/>
                <w:color w:val="000000"/>
                <w:kern w:val="0"/>
                <w:sz w:val="32"/>
                <w:szCs w:val="32"/>
              </w:rPr>
            </w:pPr>
            <w:r>
              <w:rPr>
                <w:rFonts w:hint="eastAsia" w:ascii="黑体" w:hAnsi="黑体" w:eastAsia="黑体" w:cs="宋体"/>
                <w:b/>
                <w:bCs/>
                <w:color w:val="000000"/>
                <w:kern w:val="0"/>
                <w:sz w:val="32"/>
                <w:szCs w:val="32"/>
              </w:rPr>
              <w:t>一、马克思主义</w:t>
            </w:r>
            <w:r>
              <w:rPr>
                <w:rFonts w:ascii="Times New Roman" w:hAnsi="Times New Roman" w:eastAsia="黑体" w:cs="Times New Roman"/>
                <w:b/>
                <w:bCs/>
                <w:color w:val="000000"/>
                <w:kern w:val="0"/>
                <w:sz w:val="32"/>
                <w:szCs w:val="32"/>
              </w:rPr>
              <w:t>•</w:t>
            </w:r>
            <w:r>
              <w:rPr>
                <w:rFonts w:hint="eastAsia" w:ascii="黑体" w:hAnsi="黑体" w:eastAsia="黑体" w:cs="宋体"/>
                <w:b/>
                <w:bCs/>
                <w:color w:val="000000"/>
                <w:kern w:val="0"/>
                <w:sz w:val="32"/>
                <w:szCs w:val="32"/>
              </w:rPr>
              <w:t>科学社会主义</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hint="default" w:ascii="仿宋_GB2312" w:hAnsi="宋体" w:eastAsia="仿宋_GB2312" w:cs="宋体"/>
                <w:color w:val="000000"/>
                <w:kern w:val="0"/>
                <w:sz w:val="32"/>
                <w:szCs w:val="32"/>
                <w:lang w:val="en-US" w:eastAsia="zh-CN"/>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习近平总书记关于爱国主义教育的重要论述研究</w:t>
            </w:r>
          </w:p>
        </w:tc>
      </w:tr>
      <w:tr>
        <w:tblPrEx>
          <w:tblCellMar>
            <w:top w:w="0" w:type="dxa"/>
            <w:left w:w="108" w:type="dxa"/>
            <w:bottom w:w="0" w:type="dxa"/>
            <w:right w:w="108" w:type="dxa"/>
          </w:tblCellMar>
        </w:tblPrEx>
        <w:trPr>
          <w:trHeight w:val="639"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spacing w:line="360" w:lineRule="auto"/>
              <w:ind w:left="502" w:hanging="502" w:hangingChars="157"/>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习近平总书记关于科技创新的重要论述研究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建党100年来马克思主义的发展历程与经验研究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以核心价值体系为引领推进江西文化强省建设研究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eastAsia="仿宋_GB2312"/>
                <w:sz w:val="32"/>
                <w:szCs w:val="32"/>
              </w:rPr>
              <w:t>我国脱贫攻坚的伟大成就及其历史意义研究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宋体" w:eastAsia="仿宋_GB2312" w:cs="仿宋_GB2312"/>
                <w:i w:val="0"/>
                <w:iCs w:val="0"/>
                <w:color w:val="000000"/>
                <w:kern w:val="0"/>
                <w:sz w:val="32"/>
                <w:szCs w:val="32"/>
                <w:u w:val="none"/>
                <w:lang w:val="en-US" w:eastAsia="zh-CN" w:bidi="ar"/>
              </w:rPr>
            </w:pPr>
            <w:r>
              <w:rPr>
                <w:rFonts w:hint="eastAsia" w:ascii="仿宋_GB2312" w:hAnsi="宋体" w:eastAsia="仿宋_GB2312" w:cs="仿宋_GB2312"/>
                <w:i w:val="0"/>
                <w:iCs w:val="0"/>
                <w:color w:val="000000"/>
                <w:kern w:val="0"/>
                <w:sz w:val="32"/>
                <w:szCs w:val="32"/>
                <w:u w:val="none"/>
                <w:lang w:val="en-US" w:eastAsia="zh-CN" w:bidi="ar"/>
              </w:rPr>
              <w:t>伟大抗疫精神融入思想政治理论课研究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宋体" w:eastAsia="仿宋_GB2312" w:cs="仿宋_GB2312"/>
                <w:i w:val="0"/>
                <w:iCs w:val="0"/>
                <w:color w:val="000000"/>
                <w:kern w:val="0"/>
                <w:sz w:val="32"/>
                <w:szCs w:val="32"/>
                <w:u w:val="none"/>
                <w:lang w:val="en-US" w:eastAsia="zh-CN" w:bidi="ar"/>
              </w:rPr>
            </w:pPr>
            <w:r>
              <w:rPr>
                <w:rFonts w:hint="eastAsia" w:ascii="仿宋_GB2312" w:eastAsia="仿宋_GB2312"/>
                <w:sz w:val="32"/>
                <w:szCs w:val="32"/>
              </w:rPr>
              <w:t>中华优秀传统文化创造性转化和创新性发展研究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tcPr>
          <w:p>
            <w:pPr>
              <w:spacing w:line="360" w:lineRule="auto"/>
              <w:ind w:left="502" w:hanging="502" w:hangingChars="157"/>
              <w:rPr>
                <w:rFonts w:hint="eastAsia" w:ascii="仿宋_GB2312" w:hAnsi="宋体" w:eastAsia="仿宋_GB2312" w:cs="仿宋_GB2312"/>
                <w:i w:val="0"/>
                <w:iCs w:val="0"/>
                <w:color w:val="000000"/>
                <w:kern w:val="0"/>
                <w:sz w:val="32"/>
                <w:szCs w:val="32"/>
                <w:u w:val="none"/>
                <w:lang w:val="en-US" w:eastAsia="zh-CN" w:bidi="ar"/>
              </w:rPr>
            </w:pPr>
            <w:r>
              <w:rPr>
                <w:rFonts w:hint="eastAsia" w:ascii="仿宋_GB2312" w:eastAsia="仿宋_GB2312"/>
                <w:sz w:val="32"/>
                <w:szCs w:val="32"/>
              </w:rPr>
              <w:t>世界百年未有之大变局加速演变的内涵、走向与应对研究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建设新时代全国革命老区高质量发展示范区研究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hint="eastAsia"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信息时代高校意识形态安全研究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江西省百年党史红色故事挖掘、考究与宣传研究</w:t>
            </w:r>
          </w:p>
        </w:tc>
      </w:tr>
      <w:tr>
        <w:tblPrEx>
          <w:tblCellMar>
            <w:top w:w="0" w:type="dxa"/>
            <w:left w:w="108" w:type="dxa"/>
            <w:bottom w:w="0" w:type="dxa"/>
            <w:right w:w="108" w:type="dxa"/>
          </w:tblCellMar>
        </w:tblPrEx>
        <w:trPr>
          <w:trHeight w:val="909" w:hRule="atLeast"/>
        </w:trPr>
        <w:tc>
          <w:tcPr>
            <w:tcW w:w="9686" w:type="dxa"/>
            <w:gridSpan w:val="2"/>
            <w:tcBorders>
              <w:top w:val="nil"/>
              <w:left w:val="nil"/>
              <w:bottom w:val="nil"/>
              <w:right w:val="nil"/>
            </w:tcBorders>
            <w:shd w:val="clear" w:color="auto" w:fill="auto"/>
            <w:noWrap/>
            <w:vAlign w:val="center"/>
          </w:tcPr>
          <w:p>
            <w:pPr>
              <w:widowControl/>
              <w:jc w:val="center"/>
              <w:rPr>
                <w:rFonts w:ascii="黑体" w:hAnsi="黑体" w:eastAsia="黑体" w:cs="宋体"/>
                <w:b/>
                <w:bCs/>
                <w:color w:val="000000"/>
                <w:kern w:val="0"/>
                <w:sz w:val="32"/>
                <w:szCs w:val="32"/>
              </w:rPr>
            </w:pPr>
            <w:r>
              <w:rPr>
                <w:rFonts w:hint="eastAsia" w:ascii="黑体" w:hAnsi="黑体" w:eastAsia="黑体" w:cs="宋体"/>
                <w:b/>
                <w:bCs/>
                <w:color w:val="000000"/>
                <w:kern w:val="0"/>
                <w:sz w:val="32"/>
                <w:szCs w:val="32"/>
              </w:rPr>
              <w:t>二、党史</w:t>
            </w:r>
            <w:r>
              <w:rPr>
                <w:rFonts w:ascii="Times New Roman" w:hAnsi="Times New Roman" w:eastAsia="黑体" w:cs="Times New Roman"/>
                <w:b/>
                <w:bCs/>
                <w:color w:val="000000"/>
                <w:kern w:val="0"/>
                <w:sz w:val="32"/>
                <w:szCs w:val="32"/>
              </w:rPr>
              <w:t>•</w:t>
            </w:r>
            <w:r>
              <w:rPr>
                <w:rFonts w:hint="eastAsia" w:ascii="黑体" w:hAnsi="黑体" w:eastAsia="黑体" w:cs="宋体"/>
                <w:b/>
                <w:bCs/>
                <w:color w:val="000000"/>
                <w:kern w:val="0"/>
                <w:sz w:val="32"/>
                <w:szCs w:val="32"/>
              </w:rPr>
              <w:t>党建</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spacing w:line="360" w:lineRule="auto"/>
              <w:ind w:left="502" w:hanging="502" w:hangingChars="157"/>
              <w:rPr>
                <w:rFonts w:hint="eastAsia" w:ascii="仿宋_GB2312" w:hAnsi="宋体" w:eastAsia="仿宋_GB2312" w:cs="仿宋_GB2312"/>
                <w:i w:val="0"/>
                <w:iCs w:val="0"/>
                <w:color w:val="000000"/>
                <w:kern w:val="0"/>
                <w:sz w:val="32"/>
                <w:szCs w:val="32"/>
                <w:u w:val="none"/>
                <w:lang w:val="en-US" w:eastAsia="zh-CN" w:bidi="ar"/>
              </w:rPr>
            </w:pPr>
            <w:r>
              <w:rPr>
                <w:rFonts w:hint="eastAsia" w:ascii="仿宋_GB2312" w:hAnsi="宋体" w:eastAsia="仿宋_GB2312" w:cs="仿宋_GB2312"/>
                <w:i w:val="0"/>
                <w:iCs w:val="0"/>
                <w:color w:val="000000"/>
                <w:kern w:val="0"/>
                <w:sz w:val="32"/>
                <w:szCs w:val="32"/>
                <w:u w:val="none"/>
                <w:lang w:val="en-US" w:eastAsia="zh-CN" w:bidi="ar"/>
              </w:rPr>
              <w:t>习近平总书记关于中共党史、新中国史、改革开放史、社会主</w:t>
            </w:r>
          </w:p>
          <w:p>
            <w:pPr>
              <w:spacing w:line="360" w:lineRule="auto"/>
              <w:ind w:left="502" w:hanging="502" w:hangingChars="157"/>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义发展史的重要论述研究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tcPr>
          <w:p>
            <w:pPr>
              <w:spacing w:line="360" w:lineRule="auto"/>
              <w:ind w:left="659" w:hanging="659" w:hangingChars="206"/>
              <w:jc w:val="left"/>
              <w:rPr>
                <w:rFonts w:hint="eastAsia" w:ascii="仿宋_GB2312" w:eastAsia="仿宋_GB2312"/>
                <w:sz w:val="32"/>
                <w:szCs w:val="32"/>
              </w:rPr>
            </w:pPr>
            <w:r>
              <w:rPr>
                <w:rFonts w:hint="eastAsia" w:ascii="仿宋_GB2312" w:eastAsia="仿宋_GB2312"/>
                <w:sz w:val="32"/>
                <w:szCs w:val="32"/>
              </w:rPr>
              <w:t>中国共产党百年建设史研究（分政治、思想、组织、作风、纪</w:t>
            </w:r>
          </w:p>
          <w:p>
            <w:pPr>
              <w:spacing w:line="360" w:lineRule="auto"/>
              <w:ind w:left="659" w:hanging="659" w:hangingChars="206"/>
              <w:jc w:val="left"/>
              <w:rPr>
                <w:rFonts w:ascii="仿宋_GB2312" w:hAnsi="宋体" w:eastAsia="仿宋_GB2312" w:cs="宋体"/>
                <w:color w:val="000000"/>
                <w:kern w:val="0"/>
                <w:sz w:val="32"/>
                <w:szCs w:val="32"/>
              </w:rPr>
            </w:pPr>
            <w:r>
              <w:rPr>
                <w:rFonts w:hint="eastAsia" w:ascii="仿宋_GB2312" w:eastAsia="仿宋_GB2312"/>
                <w:sz w:val="32"/>
                <w:szCs w:val="32"/>
              </w:rPr>
              <w:t>律、制度、基层组织等专题）</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hint="eastAsia"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tcPr>
          <w:p>
            <w:pPr>
              <w:spacing w:line="360" w:lineRule="auto"/>
              <w:ind w:left="659" w:hanging="659" w:hangingChars="206"/>
              <w:jc w:val="left"/>
              <w:rPr>
                <w:rFonts w:hint="eastAsia" w:ascii="仿宋_GB2312" w:eastAsia="仿宋_GB2312"/>
                <w:sz w:val="32"/>
                <w:szCs w:val="32"/>
              </w:rPr>
            </w:pPr>
            <w:r>
              <w:rPr>
                <w:rFonts w:hint="eastAsia" w:ascii="仿宋_GB2312" w:hAnsi="宋体" w:eastAsia="仿宋_GB2312" w:cs="仿宋_GB2312"/>
                <w:i w:val="0"/>
                <w:iCs w:val="0"/>
                <w:color w:val="000000"/>
                <w:kern w:val="0"/>
                <w:sz w:val="32"/>
                <w:szCs w:val="32"/>
                <w:u w:val="none"/>
                <w:lang w:val="en-US" w:eastAsia="zh-CN" w:bidi="ar"/>
              </w:rPr>
              <w:t>建党100年来中国共产党的意识形态工作基本经验研究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tcPr>
          <w:p>
            <w:pPr>
              <w:spacing w:line="360" w:lineRule="auto"/>
              <w:ind w:left="502" w:hanging="502" w:hangingChars="157"/>
              <w:rPr>
                <w:rFonts w:hint="eastAsia" w:ascii="仿宋_GB2312" w:hAnsi="宋体" w:eastAsia="仿宋_GB2312" w:cs="仿宋_GB2312"/>
                <w:i w:val="0"/>
                <w:iCs w:val="0"/>
                <w:color w:val="000000"/>
                <w:kern w:val="0"/>
                <w:sz w:val="32"/>
                <w:szCs w:val="32"/>
                <w:u w:val="none"/>
                <w:lang w:val="en-US" w:eastAsia="zh-CN" w:bidi="ar"/>
              </w:rPr>
            </w:pPr>
            <w:r>
              <w:rPr>
                <w:rFonts w:hint="eastAsia" w:ascii="仿宋_GB2312" w:eastAsia="仿宋_GB2312"/>
                <w:sz w:val="32"/>
                <w:szCs w:val="32"/>
              </w:rPr>
              <w:t>中国共产党百年历程与全面建成小康社会研究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从入党誓词看中国共产党的初心使命</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中国共产党领导实现全面建成小康社会的历程与经验研究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hint="eastAsia"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spacing w:line="360" w:lineRule="auto"/>
              <w:ind w:left="502" w:hanging="502" w:hangingChars="157"/>
              <w:rPr>
                <w:rFonts w:hint="eastAsia" w:ascii="仿宋_GB2312" w:hAnsi="宋体" w:eastAsia="仿宋_GB2312" w:cs="仿宋_GB2312"/>
                <w:i w:val="0"/>
                <w:iCs w:val="0"/>
                <w:color w:val="000000"/>
                <w:kern w:val="0"/>
                <w:sz w:val="32"/>
                <w:szCs w:val="32"/>
                <w:u w:val="none"/>
                <w:lang w:val="en-US" w:eastAsia="zh-CN" w:bidi="ar"/>
              </w:rPr>
            </w:pPr>
            <w:r>
              <w:rPr>
                <w:rFonts w:hint="eastAsia" w:ascii="仿宋_GB2312" w:hAnsi="宋体" w:eastAsia="仿宋_GB2312" w:cs="仿宋_GB2312"/>
                <w:i w:val="0"/>
                <w:iCs w:val="0"/>
                <w:color w:val="000000"/>
                <w:kern w:val="0"/>
                <w:sz w:val="32"/>
                <w:szCs w:val="32"/>
                <w:u w:val="none"/>
                <w:lang w:val="en-US" w:eastAsia="zh-CN" w:bidi="ar"/>
              </w:rPr>
              <w:t>对我省各个历史时期革命遗址、革命文物和教育基地保护和利</w:t>
            </w:r>
          </w:p>
          <w:p>
            <w:pPr>
              <w:spacing w:line="360" w:lineRule="auto"/>
              <w:ind w:left="502" w:hanging="502" w:hangingChars="157"/>
              <w:rPr>
                <w:rFonts w:hint="eastAsia"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用研究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hint="eastAsia"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hint="eastAsia" w:ascii="仿宋_GB2312" w:hAnsi="宋体" w:eastAsia="仿宋_GB2312" w:cs="宋体"/>
                <w:color w:val="000000"/>
                <w:kern w:val="0"/>
                <w:sz w:val="32"/>
                <w:szCs w:val="32"/>
              </w:rPr>
            </w:pPr>
            <w:r>
              <w:rPr>
                <w:rFonts w:hint="eastAsia" w:ascii="仿宋_GB2312" w:eastAsia="仿宋_GB2312"/>
                <w:sz w:val="32"/>
                <w:szCs w:val="32"/>
              </w:rPr>
              <w:t>新时代农村基层党建高质量发展研究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中央苏区管党治党历史经验教训研究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对江西红色文化资源、抗日战争重要遗址遗迹等的保护和利用研究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大力传承红色基因，赓续共产党人血脉研究</w:t>
            </w:r>
          </w:p>
        </w:tc>
      </w:tr>
      <w:tr>
        <w:tblPrEx>
          <w:tblCellMar>
            <w:top w:w="0" w:type="dxa"/>
            <w:left w:w="108" w:type="dxa"/>
            <w:bottom w:w="0" w:type="dxa"/>
            <w:right w:w="108" w:type="dxa"/>
          </w:tblCellMar>
        </w:tblPrEx>
        <w:trPr>
          <w:trHeight w:val="1014" w:hRule="atLeast"/>
        </w:trPr>
        <w:tc>
          <w:tcPr>
            <w:tcW w:w="9686" w:type="dxa"/>
            <w:gridSpan w:val="2"/>
            <w:tcBorders>
              <w:top w:val="nil"/>
              <w:left w:val="nil"/>
              <w:bottom w:val="nil"/>
              <w:right w:val="nil"/>
            </w:tcBorders>
            <w:shd w:val="clear" w:color="auto" w:fill="auto"/>
            <w:noWrap/>
            <w:vAlign w:val="center"/>
          </w:tcPr>
          <w:p>
            <w:pPr>
              <w:widowControl/>
              <w:jc w:val="center"/>
              <w:rPr>
                <w:rFonts w:ascii="黑体" w:hAnsi="黑体" w:eastAsia="黑体" w:cs="宋体"/>
                <w:b/>
                <w:bCs/>
                <w:color w:val="000000"/>
                <w:kern w:val="0"/>
                <w:sz w:val="32"/>
                <w:szCs w:val="32"/>
              </w:rPr>
            </w:pPr>
            <w:r>
              <w:rPr>
                <w:rFonts w:hint="eastAsia" w:ascii="黑体" w:hAnsi="黑体" w:eastAsia="黑体" w:cs="宋体"/>
                <w:b/>
                <w:bCs/>
                <w:color w:val="000000"/>
                <w:kern w:val="0"/>
                <w:sz w:val="32"/>
                <w:szCs w:val="32"/>
              </w:rPr>
              <w:t>三、哲学</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习近平新时代中国特色社会主义思想的价值观研究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eastAsia="仿宋_GB2312"/>
                <w:sz w:val="32"/>
                <w:szCs w:val="32"/>
              </w:rPr>
              <w:t>习近平关于全面建设小康社会重要论述的哲学研究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eastAsia="仿宋_GB2312"/>
                <w:sz w:val="32"/>
                <w:szCs w:val="32"/>
              </w:rPr>
              <w:t>马克思主义哲学学科体系研究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社会主义核心价值观与新时代公民道德建设研究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eastAsia="仿宋_GB2312"/>
                <w:sz w:val="32"/>
                <w:szCs w:val="32"/>
              </w:rPr>
              <w:t>中外哲学交流与比较研究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auto"/>
                <w:kern w:val="0"/>
                <w:sz w:val="32"/>
                <w:szCs w:val="32"/>
                <w:u w:val="none"/>
                <w:lang w:val="en-US" w:eastAsia="zh-CN" w:bidi="ar"/>
              </w:rPr>
              <w:t>中国传统哲学的创造性转化和创新性发展研究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auto"/>
                <w:kern w:val="0"/>
                <w:sz w:val="32"/>
                <w:szCs w:val="32"/>
                <w:u w:val="none"/>
                <w:lang w:val="en-US" w:eastAsia="zh-CN" w:bidi="ar"/>
              </w:rPr>
              <w:t>江西理学文化遗产保护研究</w:t>
            </w:r>
          </w:p>
        </w:tc>
      </w:tr>
      <w:tr>
        <w:tblPrEx>
          <w:tblCellMar>
            <w:top w:w="0" w:type="dxa"/>
            <w:left w:w="108" w:type="dxa"/>
            <w:bottom w:w="0" w:type="dxa"/>
            <w:right w:w="108" w:type="dxa"/>
          </w:tblCellMar>
        </w:tblPrEx>
        <w:trPr>
          <w:trHeight w:val="909" w:hRule="atLeast"/>
        </w:trPr>
        <w:tc>
          <w:tcPr>
            <w:tcW w:w="9686" w:type="dxa"/>
            <w:gridSpan w:val="2"/>
            <w:tcBorders>
              <w:top w:val="nil"/>
              <w:left w:val="nil"/>
              <w:bottom w:val="nil"/>
              <w:right w:val="nil"/>
            </w:tcBorders>
            <w:shd w:val="clear" w:color="auto" w:fill="auto"/>
            <w:noWrap/>
            <w:vAlign w:val="center"/>
          </w:tcPr>
          <w:p>
            <w:pPr>
              <w:widowControl/>
              <w:jc w:val="center"/>
              <w:rPr>
                <w:rFonts w:ascii="黑体" w:hAnsi="黑体" w:eastAsia="黑体" w:cs="宋体"/>
                <w:b/>
                <w:bCs/>
                <w:color w:val="000000"/>
                <w:kern w:val="0"/>
                <w:sz w:val="32"/>
                <w:szCs w:val="32"/>
              </w:rPr>
            </w:pPr>
            <w:r>
              <w:rPr>
                <w:rFonts w:hint="eastAsia" w:ascii="黑体" w:hAnsi="黑体" w:eastAsia="黑体" w:cs="宋体"/>
                <w:b/>
                <w:bCs/>
                <w:color w:val="000000"/>
                <w:kern w:val="0"/>
                <w:sz w:val="32"/>
                <w:szCs w:val="32"/>
              </w:rPr>
              <w:t>四、经济学</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eastAsia="仿宋_GB2312"/>
                <w:sz w:val="32"/>
                <w:szCs w:val="32"/>
              </w:rPr>
              <w:t>习近平新时代中国特色社会主义经济思想体系研究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eastAsia="仿宋_GB2312"/>
                <w:sz w:val="32"/>
                <w:szCs w:val="32"/>
              </w:rPr>
              <w:t>中国共产党百年经济实践与经济发展规律研究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宋体" w:eastAsia="仿宋_GB2312" w:cs="仿宋_GB2312"/>
                <w:i w:val="0"/>
                <w:iCs w:val="0"/>
                <w:color w:val="000000"/>
                <w:kern w:val="0"/>
                <w:sz w:val="32"/>
                <w:szCs w:val="32"/>
                <w:u w:val="none"/>
                <w:lang w:val="en-US" w:eastAsia="zh-CN" w:bidi="ar"/>
              </w:rPr>
            </w:pPr>
            <w:r>
              <w:rPr>
                <w:rFonts w:hint="eastAsia" w:ascii="仿宋_GB2312" w:eastAsia="仿宋_GB2312"/>
                <w:sz w:val="32"/>
                <w:szCs w:val="32"/>
              </w:rPr>
              <w:t>中国共产党百年政治经济学创新研究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“十四五”时期区域经济协调发展政策研究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江西全面推进乡村振兴实施的路径研究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创新推进我省健康与养老产业深度融合研究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新时代江西绿水青山变金山银山的重点任务和实现路径研究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以大数据和智能决策驱动我省公共卫生重大风险防控治理体系现代化研究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hint="eastAsia"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hint="eastAsia"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推进江西农业强省建设战略思路与对策研究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hint="eastAsia"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spacing w:line="360" w:lineRule="auto"/>
              <w:ind w:left="502" w:hanging="502" w:hangingChars="157"/>
              <w:rPr>
                <w:rFonts w:hint="eastAsia" w:ascii="仿宋_GB2312" w:hAnsi="宋体" w:eastAsia="仿宋_GB2312" w:cs="仿宋_GB2312"/>
                <w:i w:val="0"/>
                <w:iCs w:val="0"/>
                <w:color w:val="000000"/>
                <w:kern w:val="0"/>
                <w:sz w:val="32"/>
                <w:szCs w:val="32"/>
                <w:u w:val="none"/>
                <w:lang w:val="en-US" w:eastAsia="zh-CN" w:bidi="ar"/>
              </w:rPr>
            </w:pPr>
            <w:r>
              <w:rPr>
                <w:rFonts w:hint="eastAsia" w:ascii="仿宋_GB2312" w:eastAsia="仿宋_GB2312"/>
                <w:sz w:val="32"/>
                <w:szCs w:val="32"/>
                <w:lang w:eastAsia="zh-CN"/>
              </w:rPr>
              <w:t>江西</w:t>
            </w:r>
            <w:r>
              <w:rPr>
                <w:rFonts w:hint="eastAsia" w:ascii="仿宋_GB2312" w:eastAsia="仿宋_GB2312"/>
                <w:sz w:val="32"/>
                <w:szCs w:val="32"/>
              </w:rPr>
              <w:t>旅游业高质量发展和创新的动能与路径研究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做优做强做大江西中医药产业加快中医药强省建设研究</w:t>
            </w:r>
          </w:p>
        </w:tc>
      </w:tr>
      <w:tr>
        <w:tblPrEx>
          <w:tblCellMar>
            <w:top w:w="0" w:type="dxa"/>
            <w:left w:w="108" w:type="dxa"/>
            <w:bottom w:w="0" w:type="dxa"/>
            <w:right w:w="108" w:type="dxa"/>
          </w:tblCellMar>
        </w:tblPrEx>
        <w:trPr>
          <w:trHeight w:val="924" w:hRule="atLeast"/>
        </w:trPr>
        <w:tc>
          <w:tcPr>
            <w:tcW w:w="9686" w:type="dxa"/>
            <w:gridSpan w:val="2"/>
            <w:tcBorders>
              <w:top w:val="nil"/>
              <w:left w:val="nil"/>
              <w:bottom w:val="nil"/>
              <w:right w:val="nil"/>
            </w:tcBorders>
            <w:shd w:val="clear" w:color="auto" w:fill="auto"/>
            <w:noWrap/>
            <w:vAlign w:val="center"/>
          </w:tcPr>
          <w:p>
            <w:pPr>
              <w:widowControl/>
              <w:jc w:val="center"/>
              <w:rPr>
                <w:rFonts w:ascii="黑体" w:hAnsi="黑体" w:eastAsia="黑体" w:cs="宋体"/>
                <w:b/>
                <w:bCs/>
                <w:color w:val="000000"/>
                <w:kern w:val="0"/>
                <w:sz w:val="32"/>
                <w:szCs w:val="32"/>
              </w:rPr>
            </w:pPr>
            <w:r>
              <w:rPr>
                <w:rFonts w:hint="eastAsia" w:ascii="黑体" w:hAnsi="黑体" w:eastAsia="黑体" w:cs="宋体"/>
                <w:b/>
                <w:bCs/>
                <w:color w:val="000000"/>
                <w:kern w:val="0"/>
                <w:sz w:val="32"/>
                <w:szCs w:val="32"/>
              </w:rPr>
              <w:t>五、政治学</w:t>
            </w:r>
          </w:p>
        </w:tc>
      </w:tr>
      <w:tr>
        <w:tblPrEx>
          <w:tblCellMar>
            <w:top w:w="0" w:type="dxa"/>
            <w:left w:w="108" w:type="dxa"/>
            <w:bottom w:w="0" w:type="dxa"/>
            <w:right w:w="108" w:type="dxa"/>
          </w:tblCellMar>
        </w:tblPrEx>
        <w:trPr>
          <w:trHeight w:val="936"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ascii="仿宋_GB2312" w:hAnsi="宋体" w:eastAsia="仿宋_GB2312" w:cs="宋体"/>
                <w:color w:val="000000"/>
                <w:kern w:val="0"/>
                <w:sz w:val="32"/>
                <w:szCs w:val="32"/>
              </w:rPr>
            </w:pPr>
            <w:r>
              <w:rPr>
                <w:rFonts w:hint="eastAsia" w:ascii="仿宋_GB2312" w:eastAsia="仿宋_GB2312"/>
                <w:sz w:val="32"/>
                <w:szCs w:val="32"/>
              </w:rPr>
              <w:t>习近平总书记关于中国特色社会主义政治制度显著优势的重要论述研究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hint="eastAsia"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tcPr>
          <w:p>
            <w:pPr>
              <w:widowControl/>
              <w:jc w:val="left"/>
              <w:rPr>
                <w:rFonts w:hint="eastAsia"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百年来中国共产党探索中国特色社会主义政治发展道路的历程与经验研究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tcPr>
          <w:p>
            <w:pPr>
              <w:widowControl/>
              <w:jc w:val="left"/>
              <w:rPr>
                <w:rFonts w:hint="eastAsia" w:ascii="仿宋_GB2312" w:eastAsia="仿宋_GB2312"/>
                <w:sz w:val="32"/>
                <w:szCs w:val="32"/>
              </w:rPr>
            </w:pPr>
            <w:r>
              <w:rPr>
                <w:rFonts w:hint="eastAsia" w:ascii="仿宋_GB2312" w:eastAsia="仿宋_GB2312"/>
                <w:sz w:val="32"/>
                <w:szCs w:val="32"/>
              </w:rPr>
              <w:t>百年来中国共产党领导制度的发展演变研究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tcPr>
          <w:p>
            <w:pPr>
              <w:widowControl/>
              <w:jc w:val="left"/>
              <w:rPr>
                <w:rFonts w:ascii="仿宋_GB2312" w:hAnsi="宋体" w:eastAsia="仿宋_GB2312" w:cs="宋体"/>
                <w:color w:val="000000"/>
                <w:kern w:val="0"/>
                <w:sz w:val="32"/>
                <w:szCs w:val="32"/>
              </w:rPr>
            </w:pPr>
            <w:r>
              <w:rPr>
                <w:rFonts w:hint="eastAsia" w:ascii="仿宋_GB2312" w:eastAsia="仿宋_GB2312"/>
                <w:sz w:val="32"/>
                <w:szCs w:val="32"/>
              </w:rPr>
              <w:t>马克思主义政治价值观研究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tcPr>
          <w:p>
            <w:pPr>
              <w:widowControl/>
              <w:jc w:val="left"/>
              <w:rPr>
                <w:rFonts w:ascii="仿宋_GB2312" w:hAnsi="宋体" w:eastAsia="仿宋_GB2312" w:cs="宋体"/>
                <w:color w:val="000000"/>
                <w:kern w:val="0"/>
                <w:sz w:val="32"/>
                <w:szCs w:val="32"/>
              </w:rPr>
            </w:pPr>
            <w:r>
              <w:rPr>
                <w:rFonts w:hint="eastAsia" w:ascii="仿宋_GB2312" w:eastAsia="仿宋_GB2312"/>
                <w:sz w:val="32"/>
                <w:szCs w:val="32"/>
              </w:rPr>
              <w:t>坚持党的全面领导与增强国家治理效能关系的研究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增强突发公共事件应急治理能力研究</w:t>
            </w:r>
          </w:p>
        </w:tc>
      </w:tr>
      <w:tr>
        <w:tblPrEx>
          <w:tblCellMar>
            <w:top w:w="0" w:type="dxa"/>
            <w:left w:w="108" w:type="dxa"/>
            <w:bottom w:w="0" w:type="dxa"/>
            <w:right w:w="108" w:type="dxa"/>
          </w:tblCellMar>
        </w:tblPrEx>
        <w:trPr>
          <w:trHeight w:val="999" w:hRule="atLeast"/>
        </w:trPr>
        <w:tc>
          <w:tcPr>
            <w:tcW w:w="9686" w:type="dxa"/>
            <w:gridSpan w:val="2"/>
            <w:tcBorders>
              <w:top w:val="nil"/>
              <w:left w:val="nil"/>
              <w:bottom w:val="nil"/>
              <w:right w:val="nil"/>
            </w:tcBorders>
            <w:shd w:val="clear" w:color="auto" w:fill="auto"/>
            <w:noWrap/>
            <w:vAlign w:val="center"/>
          </w:tcPr>
          <w:p>
            <w:pPr>
              <w:widowControl/>
              <w:jc w:val="center"/>
              <w:rPr>
                <w:rFonts w:ascii="黑体" w:hAnsi="黑体" w:eastAsia="黑体" w:cs="宋体"/>
                <w:b/>
                <w:bCs/>
                <w:color w:val="000000"/>
                <w:kern w:val="0"/>
                <w:sz w:val="32"/>
                <w:szCs w:val="32"/>
              </w:rPr>
            </w:pPr>
            <w:r>
              <w:rPr>
                <w:rFonts w:hint="eastAsia" w:ascii="黑体" w:hAnsi="黑体" w:eastAsia="黑体" w:cs="宋体"/>
                <w:b/>
                <w:bCs/>
                <w:color w:val="000000"/>
                <w:kern w:val="0"/>
                <w:sz w:val="32"/>
                <w:szCs w:val="32"/>
              </w:rPr>
              <w:t>六、法学</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eastAsia="仿宋_GB2312"/>
                <w:sz w:val="32"/>
                <w:szCs w:val="32"/>
              </w:rPr>
              <w:t>中国共产党人权理念与实践的百年发展研究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在法治轨道上推进国家治理体系和治理能力现代化研究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长江经济带的环境法治问题研究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优化营商环境法治保障研究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重大突发事件与消费者权益保护法律问题研究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江西智慧城市建设的法治保障研究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《民法典》与《刑法》的衔接研究</w:t>
            </w:r>
          </w:p>
        </w:tc>
      </w:tr>
      <w:tr>
        <w:tblPrEx>
          <w:tblCellMar>
            <w:top w:w="0" w:type="dxa"/>
            <w:left w:w="108" w:type="dxa"/>
            <w:bottom w:w="0" w:type="dxa"/>
            <w:right w:w="108" w:type="dxa"/>
          </w:tblCellMar>
        </w:tblPrEx>
        <w:trPr>
          <w:trHeight w:val="999" w:hRule="atLeast"/>
        </w:trPr>
        <w:tc>
          <w:tcPr>
            <w:tcW w:w="9686" w:type="dxa"/>
            <w:gridSpan w:val="2"/>
            <w:tcBorders>
              <w:top w:val="nil"/>
              <w:left w:val="nil"/>
              <w:bottom w:val="nil"/>
              <w:right w:val="nil"/>
            </w:tcBorders>
            <w:shd w:val="clear" w:color="auto" w:fill="auto"/>
            <w:noWrap/>
            <w:vAlign w:val="center"/>
          </w:tcPr>
          <w:p>
            <w:pPr>
              <w:widowControl/>
              <w:jc w:val="center"/>
              <w:rPr>
                <w:rFonts w:ascii="黑体" w:hAnsi="黑体" w:eastAsia="黑体" w:cs="宋体"/>
                <w:b/>
                <w:bCs/>
                <w:color w:val="000000"/>
                <w:kern w:val="0"/>
                <w:sz w:val="32"/>
                <w:szCs w:val="32"/>
              </w:rPr>
            </w:pPr>
            <w:r>
              <w:rPr>
                <w:rFonts w:hint="eastAsia" w:ascii="黑体" w:hAnsi="黑体" w:eastAsia="黑体" w:cs="宋体"/>
                <w:b/>
                <w:bCs/>
                <w:color w:val="000000"/>
                <w:kern w:val="0"/>
                <w:sz w:val="32"/>
                <w:szCs w:val="32"/>
              </w:rPr>
              <w:t>七、社会学</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“十四五”时期健全社会保障体系全面推进健康江西建设研究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提升江西省基层治理体系和治理能力现代化的路径研究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我省应对突发公共卫生事件中的社会动员机制研究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乡村振兴与新型城镇化融合发展研究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新时代文明实践志愿服务工作方法研究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eastAsia="仿宋_GB2312"/>
                <w:sz w:val="32"/>
                <w:szCs w:val="32"/>
              </w:rPr>
              <w:t>精准扶贫后农村相对贫困治理研究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社会工作组织在基层社会治理共同体建设中的效用研究</w:t>
            </w:r>
          </w:p>
        </w:tc>
      </w:tr>
      <w:tr>
        <w:tblPrEx>
          <w:tblCellMar>
            <w:top w:w="0" w:type="dxa"/>
            <w:left w:w="108" w:type="dxa"/>
            <w:bottom w:w="0" w:type="dxa"/>
            <w:right w:w="108" w:type="dxa"/>
          </w:tblCellMar>
        </w:tblPrEx>
        <w:trPr>
          <w:trHeight w:val="939" w:hRule="atLeast"/>
        </w:trPr>
        <w:tc>
          <w:tcPr>
            <w:tcW w:w="9686" w:type="dxa"/>
            <w:gridSpan w:val="2"/>
            <w:tcBorders>
              <w:top w:val="nil"/>
              <w:left w:val="nil"/>
              <w:bottom w:val="nil"/>
              <w:right w:val="nil"/>
            </w:tcBorders>
            <w:shd w:val="clear" w:color="auto" w:fill="auto"/>
            <w:vAlign w:val="center"/>
          </w:tcPr>
          <w:p>
            <w:pPr>
              <w:widowControl/>
              <w:jc w:val="center"/>
              <w:rPr>
                <w:rFonts w:ascii="黑体" w:hAnsi="黑体" w:eastAsia="黑体" w:cs="宋体"/>
                <w:b/>
                <w:bCs/>
                <w:color w:val="000000"/>
                <w:kern w:val="0"/>
                <w:sz w:val="32"/>
                <w:szCs w:val="32"/>
              </w:rPr>
            </w:pPr>
            <w:r>
              <w:rPr>
                <w:rFonts w:hint="eastAsia" w:ascii="黑体" w:hAnsi="黑体" w:eastAsia="黑体" w:cs="宋体"/>
                <w:b/>
                <w:bCs/>
                <w:color w:val="000000"/>
                <w:kern w:val="0"/>
                <w:sz w:val="32"/>
                <w:szCs w:val="32"/>
              </w:rPr>
              <w:t>八、历史学</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中国共产党建党百年与中华民族复兴进程研究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中国历代国家治理史研究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江西古村落历史文化挖掘与提炼研究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中国古代疫情防控治理史研究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中央苏区史专题研究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江西重要考古遗址、墓葬及出土文字资料的整理与研究</w:t>
            </w:r>
          </w:p>
        </w:tc>
      </w:tr>
      <w:tr>
        <w:tblPrEx>
          <w:tblCellMar>
            <w:top w:w="0" w:type="dxa"/>
            <w:left w:w="108" w:type="dxa"/>
            <w:bottom w:w="0" w:type="dxa"/>
            <w:right w:w="108" w:type="dxa"/>
          </w:tblCellMar>
        </w:tblPrEx>
        <w:trPr>
          <w:trHeight w:val="924" w:hRule="atLeast"/>
        </w:trPr>
        <w:tc>
          <w:tcPr>
            <w:tcW w:w="9686" w:type="dxa"/>
            <w:gridSpan w:val="2"/>
            <w:tcBorders>
              <w:top w:val="nil"/>
              <w:left w:val="nil"/>
              <w:bottom w:val="nil"/>
              <w:right w:val="nil"/>
            </w:tcBorders>
            <w:shd w:val="clear" w:color="auto" w:fill="auto"/>
            <w:noWrap/>
            <w:vAlign w:val="center"/>
          </w:tcPr>
          <w:p>
            <w:pPr>
              <w:widowControl/>
              <w:jc w:val="center"/>
              <w:rPr>
                <w:rFonts w:ascii="黑体" w:hAnsi="黑体" w:eastAsia="黑体" w:cs="宋体"/>
                <w:b/>
                <w:bCs/>
                <w:color w:val="000000"/>
                <w:kern w:val="0"/>
                <w:sz w:val="32"/>
                <w:szCs w:val="32"/>
              </w:rPr>
            </w:pPr>
            <w:r>
              <w:rPr>
                <w:rFonts w:hint="eastAsia" w:ascii="黑体" w:hAnsi="黑体" w:eastAsia="黑体" w:cs="宋体"/>
                <w:b/>
                <w:bCs/>
                <w:color w:val="auto"/>
                <w:kern w:val="0"/>
                <w:sz w:val="32"/>
                <w:szCs w:val="32"/>
              </w:rPr>
              <w:t>九、文学（含外国文学）</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党的十八大以来文学创作贯彻落实“讲好中国故事”的研究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spacing w:line="360" w:lineRule="auto"/>
              <w:ind w:left="502" w:hanging="502" w:hangingChars="157"/>
              <w:rPr>
                <w:rFonts w:ascii="仿宋_GB2312" w:hAnsi="宋体" w:eastAsia="仿宋_GB2312" w:cs="宋体"/>
                <w:color w:val="000000"/>
                <w:kern w:val="0"/>
                <w:sz w:val="32"/>
                <w:szCs w:val="32"/>
              </w:rPr>
            </w:pPr>
            <w:r>
              <w:rPr>
                <w:rFonts w:hint="eastAsia" w:ascii="仿宋_GB2312" w:eastAsia="仿宋_GB2312"/>
                <w:sz w:val="32"/>
                <w:szCs w:val="32"/>
              </w:rPr>
              <w:t>中国文艺学学科体系、学术体系和话语体系的构建研究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红色文化与经典作品研究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江西“四色”文化传承创新发展研究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eastAsia="仿宋_GB2312"/>
                <w:sz w:val="32"/>
                <w:szCs w:val="32"/>
              </w:rPr>
              <w:t>物质文化环境中的戏曲、小说研究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江西非遗文化价值及保护研究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eastAsia="仿宋_GB2312"/>
                <w:sz w:val="32"/>
                <w:szCs w:val="32"/>
              </w:rPr>
              <w:t>中国文学经典外译研究</w:t>
            </w:r>
          </w:p>
        </w:tc>
      </w:tr>
      <w:tr>
        <w:tblPrEx>
          <w:tblCellMar>
            <w:top w:w="0" w:type="dxa"/>
            <w:left w:w="108" w:type="dxa"/>
            <w:bottom w:w="0" w:type="dxa"/>
            <w:right w:w="108" w:type="dxa"/>
          </w:tblCellMar>
        </w:tblPrEx>
        <w:trPr>
          <w:trHeight w:val="834" w:hRule="atLeast"/>
        </w:trPr>
        <w:tc>
          <w:tcPr>
            <w:tcW w:w="9686" w:type="dxa"/>
            <w:gridSpan w:val="2"/>
            <w:tcBorders>
              <w:top w:val="nil"/>
              <w:left w:val="nil"/>
              <w:bottom w:val="nil"/>
              <w:right w:val="nil"/>
            </w:tcBorders>
            <w:shd w:val="clear" w:color="auto" w:fill="auto"/>
            <w:noWrap/>
            <w:vAlign w:val="center"/>
          </w:tcPr>
          <w:p>
            <w:pPr>
              <w:widowControl/>
              <w:jc w:val="center"/>
              <w:rPr>
                <w:rFonts w:ascii="黑体" w:hAnsi="黑体" w:eastAsia="黑体" w:cs="宋体"/>
                <w:b/>
                <w:bCs/>
                <w:color w:val="000000"/>
                <w:kern w:val="0"/>
                <w:sz w:val="32"/>
                <w:szCs w:val="32"/>
              </w:rPr>
            </w:pPr>
            <w:r>
              <w:rPr>
                <w:rFonts w:hint="eastAsia" w:ascii="黑体" w:hAnsi="黑体" w:eastAsia="黑体" w:cs="宋体"/>
                <w:b/>
                <w:bCs/>
                <w:color w:val="000000"/>
                <w:kern w:val="0"/>
                <w:sz w:val="32"/>
                <w:szCs w:val="32"/>
              </w:rPr>
              <w:t>十、语言学</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中国语言学理论专题研究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中国优秀文化海外翻译传播与影响研究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汉语语音史、词汇史、语法史专题研究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中国传统语文学（文字、音韵、训诂）的继承与创新研究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智能机器人的语言行为及语言伦理研究</w:t>
            </w:r>
          </w:p>
        </w:tc>
      </w:tr>
      <w:tr>
        <w:tblPrEx>
          <w:tblCellMar>
            <w:top w:w="0" w:type="dxa"/>
            <w:left w:w="108" w:type="dxa"/>
            <w:bottom w:w="0" w:type="dxa"/>
            <w:right w:w="108" w:type="dxa"/>
          </w:tblCellMar>
        </w:tblPrEx>
        <w:trPr>
          <w:trHeight w:val="828" w:hRule="atLeast"/>
        </w:trPr>
        <w:tc>
          <w:tcPr>
            <w:tcW w:w="9686" w:type="dxa"/>
            <w:gridSpan w:val="2"/>
            <w:tcBorders>
              <w:top w:val="nil"/>
              <w:left w:val="nil"/>
              <w:bottom w:val="nil"/>
              <w:right w:val="nil"/>
            </w:tcBorders>
            <w:shd w:val="clear" w:color="auto" w:fill="auto"/>
            <w:noWrap/>
            <w:vAlign w:val="center"/>
          </w:tcPr>
          <w:p>
            <w:pPr>
              <w:widowControl/>
              <w:jc w:val="center"/>
              <w:rPr>
                <w:rFonts w:ascii="黑体" w:hAnsi="黑体" w:eastAsia="黑体" w:cs="宋体"/>
                <w:b/>
                <w:bCs/>
                <w:color w:val="000000"/>
                <w:kern w:val="0"/>
                <w:sz w:val="32"/>
                <w:szCs w:val="32"/>
              </w:rPr>
            </w:pPr>
            <w:r>
              <w:rPr>
                <w:rFonts w:hint="eastAsia" w:ascii="黑体" w:hAnsi="黑体" w:eastAsia="黑体" w:cs="宋体"/>
                <w:b/>
                <w:bCs/>
                <w:color w:val="000000"/>
                <w:kern w:val="0"/>
                <w:sz w:val="32"/>
                <w:szCs w:val="32"/>
              </w:rPr>
              <w:t>十一、新闻学与传播学</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spacing w:line="360" w:lineRule="auto"/>
              <w:ind w:left="502" w:hanging="502" w:hangingChars="157"/>
              <w:rPr>
                <w:rFonts w:ascii="仿宋_GB2312" w:hAnsi="宋体" w:eastAsia="仿宋_GB2312" w:cs="宋体"/>
                <w:color w:val="000000"/>
                <w:kern w:val="0"/>
                <w:sz w:val="32"/>
                <w:szCs w:val="32"/>
              </w:rPr>
            </w:pPr>
            <w:r>
              <w:rPr>
                <w:rFonts w:hint="eastAsia" w:ascii="仿宋_GB2312" w:eastAsia="仿宋_GB2312"/>
                <w:sz w:val="32"/>
                <w:szCs w:val="32"/>
              </w:rPr>
              <w:t>习近平总书记关于互联网发展与治理的重要论述研究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建党100周年以来中国共产党新闻理论的发展研究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noWrap/>
            <w:vAlign w:val="center"/>
          </w:tcPr>
          <w:p>
            <w:pPr>
              <w:widowControl/>
              <w:jc w:val="left"/>
              <w:rPr>
                <w:rFonts w:ascii="仿宋_GB2312" w:hAnsi="宋体" w:eastAsia="仿宋_GB2312" w:cs="宋体"/>
                <w:color w:val="000000"/>
                <w:kern w:val="0"/>
                <w:sz w:val="32"/>
                <w:szCs w:val="32"/>
              </w:rPr>
            </w:pPr>
            <w:r>
              <w:rPr>
                <w:rFonts w:hint="eastAsia" w:ascii="仿宋_GB2312" w:eastAsia="仿宋_GB2312"/>
                <w:sz w:val="32"/>
                <w:szCs w:val="32"/>
              </w:rPr>
              <w:t>建构主流意识形态认同的机制研究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中国陶瓷文化域外传播路径研究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红色文化网络传播研究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noWrap/>
            <w:vAlign w:val="center"/>
          </w:tcPr>
          <w:p>
            <w:pPr>
              <w:spacing w:line="360" w:lineRule="auto"/>
              <w:ind w:left="502" w:hanging="502" w:hangingChars="157"/>
              <w:rPr>
                <w:rFonts w:ascii="仿宋_GB2312" w:hAnsi="宋体" w:eastAsia="仿宋_GB2312" w:cs="宋体"/>
                <w:color w:val="000000"/>
                <w:kern w:val="0"/>
                <w:sz w:val="32"/>
                <w:szCs w:val="32"/>
              </w:rPr>
            </w:pPr>
            <w:r>
              <w:rPr>
                <w:rFonts w:hint="eastAsia" w:ascii="仿宋_GB2312" w:eastAsia="仿宋_GB2312"/>
                <w:sz w:val="32"/>
                <w:szCs w:val="32"/>
              </w:rPr>
              <w:t>社交媒体时代重大疫情网络舆情的特征、影响及引导策略</w:t>
            </w:r>
          </w:p>
        </w:tc>
      </w:tr>
      <w:tr>
        <w:tblPrEx>
          <w:tblCellMar>
            <w:top w:w="0" w:type="dxa"/>
            <w:left w:w="108" w:type="dxa"/>
            <w:bottom w:w="0" w:type="dxa"/>
            <w:right w:w="108" w:type="dxa"/>
          </w:tblCellMar>
        </w:tblPrEx>
        <w:trPr>
          <w:trHeight w:val="909" w:hRule="atLeast"/>
        </w:trPr>
        <w:tc>
          <w:tcPr>
            <w:tcW w:w="9686" w:type="dxa"/>
            <w:gridSpan w:val="2"/>
            <w:tcBorders>
              <w:top w:val="nil"/>
              <w:left w:val="nil"/>
              <w:bottom w:val="nil"/>
              <w:right w:val="nil"/>
            </w:tcBorders>
            <w:shd w:val="clear" w:color="auto" w:fill="auto"/>
            <w:vAlign w:val="center"/>
          </w:tcPr>
          <w:p>
            <w:pPr>
              <w:widowControl/>
              <w:jc w:val="center"/>
              <w:rPr>
                <w:rFonts w:ascii="黑体" w:hAnsi="黑体" w:eastAsia="黑体" w:cs="宋体"/>
                <w:b/>
                <w:bCs/>
                <w:color w:val="000000"/>
                <w:kern w:val="0"/>
                <w:sz w:val="32"/>
                <w:szCs w:val="32"/>
              </w:rPr>
            </w:pPr>
            <w:r>
              <w:rPr>
                <w:rFonts w:hint="eastAsia" w:ascii="黑体" w:hAnsi="黑体" w:eastAsia="黑体" w:cs="宋体"/>
                <w:b/>
                <w:bCs/>
                <w:color w:val="000000"/>
                <w:kern w:val="0"/>
                <w:sz w:val="32"/>
                <w:szCs w:val="32"/>
              </w:rPr>
              <w:t>十二、图书馆</w:t>
            </w:r>
            <w:r>
              <w:rPr>
                <w:rFonts w:hint="eastAsia" w:ascii="宋体" w:hAnsi="宋体" w:cs="宋体"/>
                <w:b/>
                <w:bCs/>
                <w:color w:val="000000"/>
                <w:kern w:val="0"/>
                <w:sz w:val="32"/>
                <w:szCs w:val="32"/>
              </w:rPr>
              <w:t>•</w:t>
            </w:r>
            <w:r>
              <w:rPr>
                <w:rFonts w:hint="eastAsia" w:ascii="黑体" w:hAnsi="黑体" w:eastAsia="黑体" w:cs="黑体"/>
                <w:b/>
                <w:bCs/>
                <w:color w:val="000000"/>
                <w:kern w:val="0"/>
                <w:sz w:val="32"/>
                <w:szCs w:val="32"/>
              </w:rPr>
              <w:t>情报与文献学</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数字资源知识共享与知识再利用模式与方法研究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我省公共图书馆服务理论研究与实践发展路径分析</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“双一流”建设背景下我省高校图书馆智库型学科服务研究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中央苏区红色文献收集、整理与保护研究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建党百年特色馆藏档案专题研究</w:t>
            </w:r>
          </w:p>
        </w:tc>
      </w:tr>
      <w:tr>
        <w:tblPrEx>
          <w:tblCellMar>
            <w:top w:w="0" w:type="dxa"/>
            <w:left w:w="108" w:type="dxa"/>
            <w:bottom w:w="0" w:type="dxa"/>
            <w:right w:w="108" w:type="dxa"/>
          </w:tblCellMar>
        </w:tblPrEx>
        <w:trPr>
          <w:trHeight w:val="849" w:hRule="atLeast"/>
        </w:trPr>
        <w:tc>
          <w:tcPr>
            <w:tcW w:w="9686" w:type="dxa"/>
            <w:gridSpan w:val="2"/>
            <w:tcBorders>
              <w:top w:val="nil"/>
              <w:left w:val="nil"/>
              <w:bottom w:val="nil"/>
              <w:right w:val="nil"/>
            </w:tcBorders>
            <w:shd w:val="clear" w:color="auto" w:fill="auto"/>
            <w:noWrap/>
            <w:vAlign w:val="center"/>
          </w:tcPr>
          <w:p>
            <w:pPr>
              <w:widowControl/>
              <w:jc w:val="center"/>
              <w:rPr>
                <w:rFonts w:ascii="黑体" w:hAnsi="黑体" w:eastAsia="黑体" w:cs="宋体"/>
                <w:b/>
                <w:bCs/>
                <w:color w:val="000000"/>
                <w:kern w:val="0"/>
                <w:sz w:val="32"/>
                <w:szCs w:val="32"/>
              </w:rPr>
            </w:pPr>
            <w:r>
              <w:rPr>
                <w:rFonts w:hint="eastAsia" w:ascii="黑体" w:hAnsi="黑体" w:eastAsia="黑体" w:cs="宋体"/>
                <w:b/>
                <w:bCs/>
                <w:color w:val="000000"/>
                <w:kern w:val="0"/>
                <w:sz w:val="32"/>
                <w:szCs w:val="32"/>
              </w:rPr>
              <w:t>十三、艺术学</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rPr>
              <w:t>习近平新时代中国特色社会主义文化艺术重要论述</w:t>
            </w:r>
            <w:r>
              <w:rPr>
                <w:rFonts w:hint="eastAsia" w:ascii="仿宋_GB2312" w:hAnsi="宋体" w:eastAsia="仿宋_GB2312" w:cs="宋体"/>
                <w:color w:val="000000"/>
                <w:kern w:val="0"/>
                <w:sz w:val="32"/>
                <w:szCs w:val="32"/>
                <w:lang w:eastAsia="zh-CN"/>
              </w:rPr>
              <w:t>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新媒介与文艺创作及批评研究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中国类型电影、类型电视剧研究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乡村振兴战略视域下江西戏曲非遗传承研究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景德镇陶瓷文化及工艺研究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江西省传统村落乡村旅游建设与管理研究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hint="eastAsia" w:ascii="仿宋_GB2312" w:hAnsi="宋体" w:eastAsia="仿宋_GB2312" w:cs="仿宋_GB2312"/>
                <w:i w:val="0"/>
                <w:iCs w:val="0"/>
                <w:color w:val="000000"/>
                <w:kern w:val="0"/>
                <w:sz w:val="32"/>
                <w:szCs w:val="32"/>
                <w:u w:val="none"/>
                <w:lang w:val="en-US" w:eastAsia="zh-CN" w:bidi="ar"/>
              </w:rPr>
            </w:pPr>
            <w:r>
              <w:rPr>
                <w:rFonts w:hint="eastAsia" w:ascii="仿宋_GB2312" w:hAnsi="宋体" w:eastAsia="仿宋_GB2312" w:cs="仿宋_GB2312"/>
                <w:i w:val="0"/>
                <w:iCs w:val="0"/>
                <w:color w:val="000000"/>
                <w:kern w:val="0"/>
                <w:sz w:val="32"/>
                <w:szCs w:val="32"/>
                <w:u w:val="none"/>
                <w:lang w:val="en-US" w:eastAsia="zh-CN" w:bidi="ar"/>
              </w:rPr>
              <w:t>百年中国戏剧文化史研究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江西百年红色题材绘画研究</w:t>
            </w:r>
          </w:p>
        </w:tc>
      </w:tr>
      <w:tr>
        <w:tblPrEx>
          <w:tblCellMar>
            <w:top w:w="0" w:type="dxa"/>
            <w:left w:w="108" w:type="dxa"/>
            <w:bottom w:w="0" w:type="dxa"/>
            <w:right w:w="108" w:type="dxa"/>
          </w:tblCellMar>
        </w:tblPrEx>
        <w:trPr>
          <w:trHeight w:val="864" w:hRule="atLeast"/>
        </w:trPr>
        <w:tc>
          <w:tcPr>
            <w:tcW w:w="9686" w:type="dxa"/>
            <w:gridSpan w:val="2"/>
            <w:tcBorders>
              <w:top w:val="nil"/>
              <w:left w:val="nil"/>
              <w:bottom w:val="nil"/>
              <w:right w:val="nil"/>
            </w:tcBorders>
            <w:shd w:val="clear" w:color="auto" w:fill="auto"/>
            <w:noWrap/>
            <w:vAlign w:val="center"/>
          </w:tcPr>
          <w:p>
            <w:pPr>
              <w:widowControl/>
              <w:jc w:val="center"/>
              <w:rPr>
                <w:rFonts w:ascii="黑体" w:hAnsi="黑体" w:eastAsia="黑体" w:cs="宋体"/>
                <w:b/>
                <w:bCs/>
                <w:color w:val="000000"/>
                <w:kern w:val="0"/>
                <w:sz w:val="32"/>
                <w:szCs w:val="32"/>
              </w:rPr>
            </w:pPr>
            <w:r>
              <w:rPr>
                <w:rFonts w:hint="eastAsia" w:ascii="黑体" w:hAnsi="黑体" w:eastAsia="黑体" w:cs="宋体"/>
                <w:b/>
                <w:bCs/>
                <w:color w:val="000000"/>
                <w:kern w:val="0"/>
                <w:sz w:val="32"/>
                <w:szCs w:val="32"/>
              </w:rPr>
              <w:t>十四、教育学（含体育学）</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top"/>
          </w:tcPr>
          <w:p>
            <w:pPr>
              <w:keepNext w:val="0"/>
              <w:keepLines w:val="0"/>
              <w:widowControl/>
              <w:suppressLineNumbers w:val="0"/>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中国共产党百年教育方针研究</w:t>
            </w:r>
            <w:r>
              <w:rPr>
                <w:rFonts w:ascii="仿宋_GB2312" w:hAnsi="宋体" w:eastAsia="仿宋_GB2312" w:cs="仿宋_GB2312"/>
                <w:color w:val="000000"/>
                <w:kern w:val="0"/>
                <w:sz w:val="32"/>
                <w:szCs w:val="32"/>
                <w:lang w:val="en-US" w:eastAsia="zh-CN" w:bidi="ar"/>
              </w:rPr>
              <w:t xml:space="preserve"> </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top"/>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新时代体育强国建设研究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top"/>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宋体" w:eastAsia="仿宋_GB2312" w:cs="仿宋_GB2312"/>
                <w:i w:val="0"/>
                <w:iCs w:val="0"/>
                <w:color w:val="000000"/>
                <w:kern w:val="0"/>
                <w:sz w:val="32"/>
                <w:szCs w:val="32"/>
                <w:u w:val="none"/>
                <w:lang w:val="en-US" w:eastAsia="zh-CN" w:bidi="ar"/>
              </w:rPr>
            </w:pPr>
            <w:r>
              <w:rPr>
                <w:rFonts w:hint="eastAsia" w:ascii="仿宋_GB2312" w:hAnsi="宋体" w:eastAsia="仿宋_GB2312" w:cs="仿宋_GB2312"/>
                <w:i w:val="0"/>
                <w:iCs w:val="0"/>
                <w:color w:val="000000"/>
                <w:kern w:val="0"/>
                <w:sz w:val="32"/>
                <w:szCs w:val="32"/>
                <w:u w:val="none"/>
                <w:lang w:val="en-US" w:eastAsia="zh-CN" w:bidi="ar"/>
              </w:rPr>
              <w:t>建党100年江西体育事业发展经验与启示研究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top"/>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融媒体时代高等学校大思政工作格局构建战略研究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线上与线下教育融合难点与突破路径研究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乡村振兴和教育现代化背景下农村教育发展战略研究</w:t>
            </w:r>
          </w:p>
        </w:tc>
      </w:tr>
      <w:tr>
        <w:tblPrEx>
          <w:tblCellMar>
            <w:top w:w="0" w:type="dxa"/>
            <w:left w:w="108" w:type="dxa"/>
            <w:bottom w:w="0" w:type="dxa"/>
            <w:right w:w="108" w:type="dxa"/>
          </w:tblCellMar>
        </w:tblPrEx>
        <w:trPr>
          <w:trHeight w:val="654"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00" w:lineRule="exact"/>
              <w:jc w:val="both"/>
              <w:textAlignment w:val="auto"/>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立德树人与道德教育研究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推动江西高质量职业教育体系研究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加快推进江西“双一流”建设的主要路径及政策扶持研究</w:t>
            </w:r>
          </w:p>
        </w:tc>
      </w:tr>
      <w:tr>
        <w:tblPrEx>
          <w:tblCellMar>
            <w:top w:w="0" w:type="dxa"/>
            <w:left w:w="108" w:type="dxa"/>
            <w:bottom w:w="0" w:type="dxa"/>
            <w:right w:w="108" w:type="dxa"/>
          </w:tblCellMar>
        </w:tblPrEx>
        <w:trPr>
          <w:trHeight w:val="969" w:hRule="atLeast"/>
        </w:trPr>
        <w:tc>
          <w:tcPr>
            <w:tcW w:w="9686" w:type="dxa"/>
            <w:gridSpan w:val="2"/>
            <w:tcBorders>
              <w:top w:val="nil"/>
              <w:left w:val="nil"/>
              <w:bottom w:val="nil"/>
              <w:right w:val="nil"/>
            </w:tcBorders>
            <w:shd w:val="clear" w:color="auto" w:fill="auto"/>
            <w:vAlign w:val="center"/>
          </w:tcPr>
          <w:p>
            <w:pPr>
              <w:widowControl/>
              <w:jc w:val="center"/>
              <w:rPr>
                <w:rFonts w:ascii="黑体" w:hAnsi="黑体" w:eastAsia="黑体" w:cs="宋体"/>
                <w:b/>
                <w:bCs/>
                <w:color w:val="000000"/>
                <w:kern w:val="0"/>
                <w:sz w:val="32"/>
                <w:szCs w:val="32"/>
              </w:rPr>
            </w:pPr>
            <w:r>
              <w:rPr>
                <w:rFonts w:hint="eastAsia" w:ascii="黑体" w:hAnsi="黑体" w:eastAsia="黑体" w:cs="宋体"/>
                <w:b/>
                <w:bCs/>
                <w:color w:val="000000"/>
                <w:kern w:val="0"/>
                <w:sz w:val="32"/>
                <w:szCs w:val="32"/>
              </w:rPr>
              <w:t>十五、管理学</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ascii="仿宋_GB2312" w:hAnsi="宋体" w:eastAsia="仿宋_GB2312" w:cs="宋体"/>
                <w:color w:val="000000"/>
                <w:kern w:val="0"/>
                <w:sz w:val="32"/>
                <w:szCs w:val="32"/>
              </w:rPr>
            </w:pPr>
            <w:r>
              <w:rPr>
                <w:rFonts w:hint="eastAsia" w:ascii="仿宋_GB2312" w:eastAsia="仿宋_GB2312"/>
                <w:sz w:val="32"/>
                <w:szCs w:val="32"/>
              </w:rPr>
              <w:t>脱贫攻坚与乡村振兴有效衔接模式及实现路径研究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hint="eastAsia" w:ascii="仿宋_GB2312" w:hAnsi="宋体" w:eastAsia="仿宋_GB2312" w:cs="仿宋_GB2312"/>
                <w:i w:val="0"/>
                <w:iCs w:val="0"/>
                <w:color w:val="000000"/>
                <w:kern w:val="0"/>
                <w:sz w:val="32"/>
                <w:szCs w:val="32"/>
                <w:u w:val="none"/>
                <w:lang w:val="en-US" w:eastAsia="zh-CN" w:bidi="ar"/>
              </w:rPr>
            </w:pPr>
            <w:r>
              <w:rPr>
                <w:rFonts w:hint="eastAsia" w:ascii="仿宋_GB2312" w:eastAsia="仿宋_GB2312"/>
                <w:sz w:val="32"/>
                <w:szCs w:val="32"/>
              </w:rPr>
              <w:t>百年未有之大变局下的企业发展环境变革研究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数字经济背景下我省公共服务体系构建与优化研究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做实做优做强做大我省航空、电子信息、装备制造、中医药、新能源、新材料等优势产业对策研究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“十四五”时期推进我省民营企业高质量发展策略研究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构建具有江西特色的生态环境治理体系研究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江西文化产业高质量发展推进文化强省研究</w:t>
            </w:r>
          </w:p>
        </w:tc>
      </w:tr>
      <w:tr>
        <w:tblPrEx>
          <w:tblCellMar>
            <w:top w:w="0" w:type="dxa"/>
            <w:left w:w="108" w:type="dxa"/>
            <w:bottom w:w="0" w:type="dxa"/>
            <w:right w:w="108" w:type="dxa"/>
          </w:tblCellMar>
        </w:tblPrEx>
        <w:trPr>
          <w:trHeight w:val="600" w:hRule="atLeast"/>
        </w:trPr>
        <w:tc>
          <w:tcPr>
            <w:tcW w:w="886" w:type="dxa"/>
            <w:tcBorders>
              <w:top w:val="nil"/>
              <w:left w:val="nil"/>
              <w:bottom w:val="nil"/>
              <w:right w:val="nil"/>
            </w:tcBorders>
            <w:shd w:val="clear" w:color="auto" w:fill="auto"/>
            <w:noWrap/>
            <w:vAlign w:val="center"/>
          </w:tcPr>
          <w:p>
            <w:pPr>
              <w:widowControl/>
              <w:numPr>
                <w:ilvl w:val="0"/>
                <w:numId w:val="1"/>
              </w:numPr>
              <w:ind w:left="425" w:leftChars="0" w:hanging="425" w:firstLineChars="0"/>
              <w:jc w:val="center"/>
              <w:rPr>
                <w:rFonts w:hint="eastAsia" w:ascii="仿宋_GB2312" w:hAnsi="宋体" w:eastAsia="仿宋_GB2312" w:cs="宋体"/>
                <w:color w:val="000000"/>
                <w:kern w:val="0"/>
                <w:sz w:val="32"/>
                <w:szCs w:val="32"/>
              </w:rPr>
            </w:pPr>
          </w:p>
        </w:tc>
        <w:tc>
          <w:tcPr>
            <w:tcW w:w="8800" w:type="dxa"/>
            <w:tcBorders>
              <w:top w:val="nil"/>
              <w:left w:val="nil"/>
              <w:bottom w:val="nil"/>
              <w:right w:val="nil"/>
            </w:tcBorders>
            <w:shd w:val="clear" w:color="auto" w:fill="auto"/>
            <w:vAlign w:val="center"/>
          </w:tcPr>
          <w:p>
            <w:pPr>
              <w:widowControl/>
              <w:jc w:val="left"/>
              <w:rPr>
                <w:rFonts w:hint="eastAsia" w:ascii="仿宋_GB2312" w:hAnsi="宋体" w:eastAsia="仿宋_GB2312" w:cs="宋体"/>
                <w:color w:val="000000"/>
                <w:kern w:val="0"/>
                <w:sz w:val="32"/>
                <w:szCs w:val="32"/>
              </w:rPr>
            </w:pPr>
            <w:r>
              <w:rPr>
                <w:rFonts w:hint="eastAsia" w:ascii="仿宋_GB2312" w:hAnsi="宋体" w:eastAsia="仿宋_GB2312" w:cs="仿宋_GB2312"/>
                <w:i w:val="0"/>
                <w:iCs w:val="0"/>
                <w:color w:val="000000"/>
                <w:kern w:val="0"/>
                <w:sz w:val="32"/>
                <w:szCs w:val="32"/>
                <w:u w:val="none"/>
                <w:lang w:val="en-US" w:eastAsia="zh-CN" w:bidi="ar"/>
              </w:rPr>
              <w:t>双循环新格局下人工智能驱动江西制造业高质量发展研究</w:t>
            </w:r>
          </w:p>
        </w:tc>
      </w:tr>
    </w:tbl>
    <w:p/>
    <w:p>
      <w:bookmarkStart w:id="0" w:name="_GoBack"/>
      <w:bookmarkEnd w:id="0"/>
    </w:p>
    <w:sectPr>
      <w:headerReference r:id="rId3" w:type="default"/>
      <w:footerReference r:id="rId4" w:type="default"/>
      <w:pgSz w:w="11906" w:h="16838"/>
      <w:pgMar w:top="1440" w:right="1417" w:bottom="1440" w:left="1417"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宋体">
    <w:altName w:val="宋体"/>
    <w:panose1 w:val="02010600040101010101"/>
    <w:charset w:val="86"/>
    <w:family w:val="auto"/>
    <w:pitch w:val="default"/>
    <w:sig w:usb0="00000000" w:usb1="0000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37AD29"/>
    <w:multiLevelType w:val="singleLevel"/>
    <w:tmpl w:val="8337AD29"/>
    <w:lvl w:ilvl="0" w:tentative="0">
      <w:start w:val="1"/>
      <w:numFmt w:val="decimal"/>
      <w:lvlText w:val="%1."/>
      <w:lvlJc w:val="left"/>
      <w:pPr>
        <w:ind w:left="425" w:hanging="425"/>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AD4657"/>
    <w:rsid w:val="004E03A3"/>
    <w:rsid w:val="058F6FF1"/>
    <w:rsid w:val="06F742FB"/>
    <w:rsid w:val="086322B4"/>
    <w:rsid w:val="08C37466"/>
    <w:rsid w:val="0CAD4657"/>
    <w:rsid w:val="1453044A"/>
    <w:rsid w:val="14C04661"/>
    <w:rsid w:val="170D24AD"/>
    <w:rsid w:val="18F579D3"/>
    <w:rsid w:val="1975026C"/>
    <w:rsid w:val="1AEA32EF"/>
    <w:rsid w:val="1C5D15F4"/>
    <w:rsid w:val="1CBE35B6"/>
    <w:rsid w:val="1D3B11B2"/>
    <w:rsid w:val="1D5B3440"/>
    <w:rsid w:val="1E076245"/>
    <w:rsid w:val="1F433E95"/>
    <w:rsid w:val="22E0188C"/>
    <w:rsid w:val="23304C33"/>
    <w:rsid w:val="25661B77"/>
    <w:rsid w:val="25796628"/>
    <w:rsid w:val="25A4106F"/>
    <w:rsid w:val="2B0067DF"/>
    <w:rsid w:val="2C4065D3"/>
    <w:rsid w:val="2C677FBF"/>
    <w:rsid w:val="2C8F216A"/>
    <w:rsid w:val="2CC213B2"/>
    <w:rsid w:val="2D3E2F87"/>
    <w:rsid w:val="2E54293D"/>
    <w:rsid w:val="30472B30"/>
    <w:rsid w:val="30D94465"/>
    <w:rsid w:val="31894029"/>
    <w:rsid w:val="34DF2401"/>
    <w:rsid w:val="36E954DB"/>
    <w:rsid w:val="3A0A7EB2"/>
    <w:rsid w:val="3BA23118"/>
    <w:rsid w:val="3CD51D95"/>
    <w:rsid w:val="3D5C3BFF"/>
    <w:rsid w:val="408B577C"/>
    <w:rsid w:val="41E635B1"/>
    <w:rsid w:val="420C20BE"/>
    <w:rsid w:val="42255F6E"/>
    <w:rsid w:val="437669CC"/>
    <w:rsid w:val="440715B2"/>
    <w:rsid w:val="46C34EB6"/>
    <w:rsid w:val="47530816"/>
    <w:rsid w:val="475E13F3"/>
    <w:rsid w:val="486F684C"/>
    <w:rsid w:val="48A7150F"/>
    <w:rsid w:val="492050DE"/>
    <w:rsid w:val="4937266D"/>
    <w:rsid w:val="4AE04D36"/>
    <w:rsid w:val="4D6114A6"/>
    <w:rsid w:val="4F786D3E"/>
    <w:rsid w:val="50315175"/>
    <w:rsid w:val="51182912"/>
    <w:rsid w:val="551A2095"/>
    <w:rsid w:val="55F3318D"/>
    <w:rsid w:val="565E3B54"/>
    <w:rsid w:val="568A4934"/>
    <w:rsid w:val="568C5554"/>
    <w:rsid w:val="5749043D"/>
    <w:rsid w:val="57A56A15"/>
    <w:rsid w:val="5AA76995"/>
    <w:rsid w:val="5ECE06A2"/>
    <w:rsid w:val="5F361504"/>
    <w:rsid w:val="5F730532"/>
    <w:rsid w:val="61315F44"/>
    <w:rsid w:val="6AA66C98"/>
    <w:rsid w:val="6BDB025D"/>
    <w:rsid w:val="6DA60858"/>
    <w:rsid w:val="6E2B24DE"/>
    <w:rsid w:val="70584CF3"/>
    <w:rsid w:val="7087119A"/>
    <w:rsid w:val="71CD42D9"/>
    <w:rsid w:val="72B36952"/>
    <w:rsid w:val="737E476A"/>
    <w:rsid w:val="73DF2732"/>
    <w:rsid w:val="745B68A3"/>
    <w:rsid w:val="75226C12"/>
    <w:rsid w:val="7694522B"/>
    <w:rsid w:val="781E7ED7"/>
    <w:rsid w:val="785C47F3"/>
    <w:rsid w:val="78937A87"/>
    <w:rsid w:val="790206B8"/>
    <w:rsid w:val="7D17666B"/>
    <w:rsid w:val="7E550FDC"/>
    <w:rsid w:val="7EAE551E"/>
    <w:rsid w:val="7F6002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